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F7" w:rsidRDefault="005A42D6">
      <w:pPr>
        <w:spacing w:after="0" w:line="24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Дидактическая игра как средство развития </w:t>
      </w:r>
    </w:p>
    <w:p w:rsidR="00E80FF7" w:rsidRDefault="005A42D6">
      <w:pPr>
        <w:spacing w:after="0" w:line="24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сенсорных способностей детей третьего года жизни</w:t>
      </w:r>
    </w:p>
    <w:p w:rsidR="00E80FF7" w:rsidRDefault="00E80FF7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E80FF7" w:rsidRDefault="005A42D6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Данилова Т. А., Степанова С. Н., воспитатели </w:t>
      </w:r>
    </w:p>
    <w:p w:rsidR="00E80FF7" w:rsidRDefault="00E80FF7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Сенсорное развитие детей раннего возраста во все времена было и остается важным и необходимым для полноценного воспитания подрастающего поколения. Сенсорное развитие ребенка – это развитие его восприятия и формирования представлений о важнейших свойствах предметов: их форме, цвете, величине, положении в пространстве, а также запахе и вкусе. 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 xml:space="preserve">Вопросы сенсорного развития и воспитания детей раннего дошкольного возраста были изучены В. Н. Аванесовой, Л. А. </w:t>
      </w:r>
      <w:proofErr w:type="spellStart"/>
      <w:r>
        <w:rPr>
          <w:sz w:val="20"/>
        </w:rPr>
        <w:t>Венгером</w:t>
      </w:r>
      <w:proofErr w:type="spellEnd"/>
      <w:r>
        <w:rPr>
          <w:sz w:val="20"/>
        </w:rPr>
        <w:t xml:space="preserve">, А. В. Запорожцем, Н. Н. </w:t>
      </w:r>
      <w:proofErr w:type="spellStart"/>
      <w:r>
        <w:rPr>
          <w:sz w:val="20"/>
        </w:rPr>
        <w:t>Поддъяковым</w:t>
      </w:r>
      <w:proofErr w:type="spellEnd"/>
      <w:r>
        <w:rPr>
          <w:sz w:val="20"/>
        </w:rPr>
        <w:t xml:space="preserve">, Н. П. </w:t>
      </w:r>
      <w:proofErr w:type="spellStart"/>
      <w:r>
        <w:rPr>
          <w:sz w:val="20"/>
        </w:rPr>
        <w:t>Сакулиной</w:t>
      </w:r>
      <w:proofErr w:type="spellEnd"/>
      <w:r>
        <w:rPr>
          <w:sz w:val="20"/>
        </w:rPr>
        <w:t xml:space="preserve">, А. П. Усовой, а также другими психологами и педагогами. Они отмечали, что развитие сенсорного восприятия – сложный процесс, включающий в качестве основных элементов усвоение детьми сенсорных эталонов и овладение способами обследования предметов. 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В практике дошкольного воспитания сенсорному развитию детей уделяется достаточно много внимания. Но многочисленные исследования коррекционной педагогики и психологии показывают, что восприятие у детей носит неполный, неточный, фрагментарный и нецеленаправленный характер. У детей существует недостаточность в овладении сенсорными эталонами (форма, цвет, величина, структура поверхности, характеристика запахов, звуков и др.). Эти проблемы существуют у типично развивающихся детей, что же тогда происходит с ребенком, имеющим особенности в развитии? Если у ребенка есть эти проблемы, то он с ними уже родился и пришел в детский сад. Наша задача увидеть это на раннем этапе. И помочь малышу справиться с трудностями до выхода из периода дошкольного возраста.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Успешность применения сенсорных игр и игровых упражнений в процессе работы с детьми, имеющими определенные трудности в развитии,  зависит от соблюдений определенных требований к их отбору и проведению. К числу основных требований относятся: доступность, связь с жизненным опытом и интересом ребенка, эмоциональность, динамичность, организация гибкого временного режима обучения. Реализуя адаптированную образовательную программу, мы ставили перед собой следующие задачи: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- развитие крупной и мелкой моторики;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- знакомство с формой, величиной, цветом;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- развитие у детей умения определять свойства предметов через осязание, обоняние и тактильно-двигательное восприятие;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- развитие слухового восприятия и слуховой памяти.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Используя в работе игры для малышей, мы каждый раз убеждаемся в том, что игра – самый простой и самый эффективный способ получения ребенком умений и навыков.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При отборе дидактических игр для детей мы преследовали развивающие цели и учитывали особенности развития «проблемных» детей.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Вашему вниманию мы предлагаем дидактические игры для сенсорного развития, сделанные своими руками. Игры должны быть простыми, понятными и красочными.</w:t>
      </w:r>
    </w:p>
    <w:p w:rsidR="00E80FF7" w:rsidRDefault="00E80FF7">
      <w:pPr>
        <w:pStyle w:val="a3"/>
        <w:spacing w:after="0"/>
        <w:ind w:firstLine="425"/>
        <w:jc w:val="both"/>
        <w:rPr>
          <w:sz w:val="20"/>
        </w:rPr>
      </w:pP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18415</wp:posOffset>
            </wp:positionV>
            <wp:extent cx="2042160" cy="1205865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04216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Игра «Подбери ежам иголки» поможет ребенку, имеющему проблемы в развитие зрительно-двигательной координации, и развивает мелкую моторику рук.</w:t>
      </w:r>
    </w:p>
    <w:p w:rsidR="00E80FF7" w:rsidRDefault="00E80FF7">
      <w:pPr>
        <w:pStyle w:val="a3"/>
        <w:spacing w:after="0"/>
        <w:rPr>
          <w:sz w:val="20"/>
        </w:rPr>
      </w:pPr>
    </w:p>
    <w:p w:rsidR="00E80FF7" w:rsidRDefault="00E80FF7">
      <w:pPr>
        <w:pStyle w:val="a3"/>
        <w:spacing w:after="0"/>
        <w:rPr>
          <w:sz w:val="20"/>
        </w:rPr>
      </w:pPr>
    </w:p>
    <w:p w:rsidR="00E80FF7" w:rsidRDefault="00E80FF7">
      <w:pPr>
        <w:pStyle w:val="a3"/>
        <w:spacing w:after="0"/>
        <w:rPr>
          <w:sz w:val="20"/>
        </w:rPr>
      </w:pPr>
    </w:p>
    <w:p w:rsidR="00E80FF7" w:rsidRDefault="00E80FF7">
      <w:pPr>
        <w:pStyle w:val="a3"/>
        <w:spacing w:after="0"/>
        <w:rPr>
          <w:sz w:val="20"/>
        </w:rPr>
      </w:pPr>
    </w:p>
    <w:p w:rsidR="00E80FF7" w:rsidRDefault="005A42D6">
      <w:pPr>
        <w:pStyle w:val="a3"/>
        <w:spacing w:after="0"/>
        <w:rPr>
          <w:sz w:val="20"/>
        </w:rPr>
      </w:pPr>
      <w:bookmarkStart w:id="0" w:name="_GoBack"/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1945004</wp:posOffset>
            </wp:positionH>
            <wp:positionV relativeFrom="paragraph">
              <wp:posOffset>70485</wp:posOffset>
            </wp:positionV>
            <wp:extent cx="1995804" cy="1017270"/>
            <wp:effectExtent l="0" t="0" r="0" b="0"/>
            <wp:wrapSquare wrapText="bothSides" distT="0" distB="0" distL="114300" distR="11430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95804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80FF7" w:rsidRDefault="00E80FF7">
      <w:pPr>
        <w:pStyle w:val="a3"/>
        <w:spacing w:after="0"/>
        <w:rPr>
          <w:sz w:val="20"/>
        </w:rPr>
      </w:pP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А эта игра учит подбирать аналогичный цвет, развивают зрительное восприятие.</w:t>
      </w:r>
    </w:p>
    <w:p w:rsidR="00E80FF7" w:rsidRDefault="00E80FF7">
      <w:pPr>
        <w:pStyle w:val="a3"/>
        <w:spacing w:after="0"/>
        <w:jc w:val="both"/>
        <w:rPr>
          <w:sz w:val="20"/>
        </w:rPr>
      </w:pPr>
    </w:p>
    <w:p w:rsidR="00E80FF7" w:rsidRDefault="00E80FF7">
      <w:pPr>
        <w:pStyle w:val="a3"/>
        <w:spacing w:after="0"/>
        <w:jc w:val="both"/>
        <w:rPr>
          <w:sz w:val="20"/>
        </w:rPr>
      </w:pPr>
    </w:p>
    <w:p w:rsidR="00E80FF7" w:rsidRDefault="00E80FF7">
      <w:pPr>
        <w:pStyle w:val="a3"/>
        <w:spacing w:after="0"/>
        <w:jc w:val="both"/>
        <w:rPr>
          <w:sz w:val="20"/>
        </w:rPr>
      </w:pPr>
    </w:p>
    <w:p w:rsidR="00E80FF7" w:rsidRDefault="00E80FF7">
      <w:pPr>
        <w:pStyle w:val="a3"/>
        <w:spacing w:after="0"/>
        <w:jc w:val="both"/>
        <w:rPr>
          <w:sz w:val="20"/>
        </w:rPr>
      </w:pPr>
    </w:p>
    <w:p w:rsidR="00E80FF7" w:rsidRDefault="005A42D6">
      <w:pPr>
        <w:pStyle w:val="a3"/>
        <w:spacing w:after="0"/>
        <w:jc w:val="both"/>
        <w:rPr>
          <w:sz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12700</wp:posOffset>
            </wp:positionV>
            <wp:extent cx="1972310" cy="1297305"/>
            <wp:effectExtent l="0" t="0" r="0" b="0"/>
            <wp:wrapSquare wrapText="bothSides" distT="0" distB="0" distL="114300" distR="11430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97231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Игры «Подбери ключ к замочку», «Закрой окошечки», «Собери цветок», «Найди собачке домик» – помогут закрепить представления о цвете, форме предметов, а также тренируют мелкую моторику рук и глазомер.</w:t>
      </w:r>
    </w:p>
    <w:p w:rsidR="00E80FF7" w:rsidRDefault="00E80FF7">
      <w:pPr>
        <w:pStyle w:val="a3"/>
        <w:spacing w:after="0"/>
        <w:ind w:firstLine="425"/>
        <w:jc w:val="both"/>
        <w:rPr>
          <w:sz w:val="20"/>
        </w:rPr>
      </w:pPr>
    </w:p>
    <w:p w:rsidR="00E80FF7" w:rsidRDefault="00E80FF7">
      <w:pPr>
        <w:pStyle w:val="a3"/>
        <w:spacing w:after="0"/>
        <w:ind w:firstLine="425"/>
        <w:jc w:val="both"/>
        <w:rPr>
          <w:sz w:val="20"/>
        </w:rPr>
      </w:pP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34290</wp:posOffset>
            </wp:positionV>
            <wp:extent cx="1699260" cy="1219835"/>
            <wp:effectExtent l="0" t="0" r="0" b="0"/>
            <wp:wrapSquare wrapText="bothSides" distT="0" distB="0" distL="114300" distR="11430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9926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Тактильно-игровой центр «Времена года» развивает чувствительность пальцев руки, учит ориентироваться в пространстве (вверху, внизу, под, на, за, над …). Развивает внимание детей (« Кого не стало?», «Кто пришел?» и др.),  речь и воображение.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Наблюдая за детьми в процессе игры, мы видим повышение уровня сенсорных способностей, желание детей принимать участие в игре, умение детей наблюдать друг за другом и исправлять свои и чужие допущенные ошибки.</w:t>
      </w:r>
    </w:p>
    <w:p w:rsidR="00E80FF7" w:rsidRDefault="005A42D6">
      <w:pPr>
        <w:pStyle w:val="a3"/>
        <w:spacing w:after="0"/>
        <w:ind w:firstLine="425"/>
        <w:jc w:val="both"/>
        <w:rPr>
          <w:sz w:val="20"/>
        </w:rPr>
      </w:pPr>
      <w:r>
        <w:rPr>
          <w:sz w:val="20"/>
        </w:rPr>
        <w:t>Таким образом, мы пришли к выводу, что 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человека, основ его полноценного развития.</w:t>
      </w:r>
    </w:p>
    <w:p w:rsidR="00E80FF7" w:rsidRDefault="00E80F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</w:rPr>
      </w:pPr>
    </w:p>
    <w:p w:rsidR="00E80FF7" w:rsidRDefault="00E80FF7"/>
    <w:sectPr w:rsidR="00E80FF7" w:rsidSect="00E80FF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FF7"/>
    <w:rsid w:val="005A42D6"/>
    <w:rsid w:val="00667DEF"/>
    <w:rsid w:val="00E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3B68F-1E8B-4B2E-A650-915D5371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80FF7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E80FF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80FF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80FF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80FF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80FF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80FF7"/>
    <w:rPr>
      <w:rFonts w:ascii="Calibri" w:hAnsi="Calibri"/>
    </w:rPr>
  </w:style>
  <w:style w:type="paragraph" w:styleId="21">
    <w:name w:val="toc 2"/>
    <w:next w:val="a"/>
    <w:link w:val="22"/>
    <w:uiPriority w:val="39"/>
    <w:rsid w:val="00E80FF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80FF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80FF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80FF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80FF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80FF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80FF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80FF7"/>
    <w:rPr>
      <w:rFonts w:ascii="XO Thames" w:hAnsi="XO Thames"/>
      <w:sz w:val="28"/>
    </w:rPr>
  </w:style>
  <w:style w:type="paragraph" w:styleId="a3">
    <w:name w:val="Normal (Web)"/>
    <w:basedOn w:val="a"/>
    <w:link w:val="a4"/>
    <w:rsid w:val="00E80FF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E80FF7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E80FF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80FF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80FF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80FF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80FF7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E80FF7"/>
    <w:rPr>
      <w:color w:val="0000FF"/>
      <w:u w:val="single"/>
    </w:rPr>
  </w:style>
  <w:style w:type="character" w:styleId="a5">
    <w:name w:val="Hyperlink"/>
    <w:link w:val="12"/>
    <w:rsid w:val="00E80FF7"/>
    <w:rPr>
      <w:color w:val="0000FF"/>
      <w:u w:val="single"/>
    </w:rPr>
  </w:style>
  <w:style w:type="paragraph" w:customStyle="1" w:styleId="Footnote">
    <w:name w:val="Footnote"/>
    <w:link w:val="Footnote0"/>
    <w:rsid w:val="00E80FF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80FF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80FF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E80FF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80FF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80FF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80FF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80FF7"/>
    <w:rPr>
      <w:rFonts w:ascii="XO Thames" w:hAnsi="XO Thames"/>
      <w:sz w:val="28"/>
    </w:rPr>
  </w:style>
  <w:style w:type="paragraph" w:customStyle="1" w:styleId="15">
    <w:name w:val="Основной шрифт абзаца1"/>
    <w:rsid w:val="00E80FF7"/>
  </w:style>
  <w:style w:type="paragraph" w:styleId="8">
    <w:name w:val="toc 8"/>
    <w:next w:val="a"/>
    <w:link w:val="80"/>
    <w:uiPriority w:val="39"/>
    <w:rsid w:val="00E80FF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80FF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80FF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80FF7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E80FF7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E80FF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E80FF7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E80FF7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E80FF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E80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80FF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80FF7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3675</Characters>
  <Application>Microsoft Office Word</Application>
  <DocSecurity>0</DocSecurity>
  <Lines>30</Lines>
  <Paragraphs>8</Paragraphs>
  <ScaleCrop>false</ScaleCrop>
  <Company>Krokoz™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4</cp:revision>
  <dcterms:created xsi:type="dcterms:W3CDTF">2021-12-09T19:37:00Z</dcterms:created>
  <dcterms:modified xsi:type="dcterms:W3CDTF">2021-12-10T06:34:00Z</dcterms:modified>
</cp:coreProperties>
</file>