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Б</w:t>
      </w:r>
      <w:r>
        <w:rPr>
          <w:rFonts w:ascii="Times New Roman" w:eastAsia="Times New Roman" w:hAnsi="Times New Roman" w:hint="default"/>
          <w:sz w:val="28"/>
          <w:szCs w:val="28"/>
        </w:rPr>
        <w:t>юджетное дошкольное образовательное учреждение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города Омска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«Детский сад № 349 общеразвивающего вида»</w:t>
      </w: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Статья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Развитие у детей предпосылок математической грамотности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3110" w:left="6221" w:rightChars="0" w:right="0" w:hanging="0" w:firstLineChars="0" w:firstLine="0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Воспитатель</w:t>
      </w:r>
    </w:p>
    <w:p>
      <w:pPr>
        <w:ind w:leftChars="3110" w:left="6221" w:rightChars="0" w:right="0" w:hanging="0" w:firstLineChars="0" w:firstLine="0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Гоппе Ирина Владимировна</w:t>
      </w:r>
    </w:p>
    <w:p>
      <w:pPr>
        <w:ind w:leftChars="3110" w:left="6221" w:rightChars="0" w:right="0" w:hanging="0" w:firstLineChars="0" w:firstLine="0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3110" w:left="6221" w:rightChars="0" w:right="0" w:hanging="0" w:firstLineChars="0" w:firstLine="0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left"/>
        <w:spacing w:after="160" w:line="259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</w:p>
    <w:p>
      <w:pPr>
        <w:ind w:leftChars="0" w:left="0" w:rightChars="0" w:right="0" w:hanging="0" w:firstLineChars="0" w:firstLine="1"/>
        <w:jc w:val="center"/>
        <w:spacing w:after="160" w:line="259" w:lineRule="auto"/>
        <w:rPr>
          <w:rFonts w:ascii="Times New Roman" w:eastAsia="Times New Roman" w:hAnsi="Times New Roman" w:hint="default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Омск</w:t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</w:rPr>
        <w:br w:type="page"/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предшкольный период воспитания.</w:t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Функциональная грамотность, как средство раскрытия учебных навыков и возможностей должна быть знакома детям уже в 6-7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hanging="0" w:firstLineChars="261" w:firstLine="709"/>
        <w:jc w:val="both"/>
        <w:spacing w:after="0" w:line="360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>Математическая грамотность ― это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 и заинтересованному мыслящему гражданину.</w:t>
      </w:r>
    </w:p>
    <w:p>
      <w:pPr>
        <w:ind w:leftChars="0" w:left="0" w:hanging="0" w:firstLineChars="261" w:firstLine="709"/>
        <w:jc w:val="both"/>
        <w:spacing w:after="0"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Обучение математике необходимо проводить в атмосфере доброжелательности и поддержки ребёнка, даже если он совершил ошибку. Работая с детьми, следует обращать внимание</w:t>
      </w:r>
      <w:r>
        <w:rPr>
          <w:caps w:val="off"/>
          <w:rFonts w:ascii="Arial" w:eastAsia="Arial" w:hAnsi="Arial" w:cs="Arial"/>
          <w:b w:val="0"/>
          <w:i w:val="0"/>
          <w:sz w:val="24"/>
        </w:rPr>
        <w:t xml:space="preserve">, 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 xml:space="preserve">на то, что часто они могут  отвлекаться, быстро устают, а это ведёт к снижению внимания, дети плохо усваивают программный материал. Во время игры дети быстро сравнивают предметы 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по величине, без труда определяют форму, они приобретают новы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е знания, умения, навыки. И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гры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, развивающие математические способности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 xml:space="preserve">, 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помогают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 xml:space="preserve"> 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становлению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 xml:space="preserve"> восприятия, внимания, памяти, речи, мышления.</w:t>
      </w:r>
    </w:p>
    <w:p>
      <w:pPr>
        <w:ind w:leftChars="0" w:left="0" w:hanging="0" w:firstLineChars="261" w:firstLine="709"/>
        <w:jc w:val="both"/>
        <w:spacing w:after="0"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 xml:space="preserve">В повседневной жизни, в быту и в играх ребенок достаточно рано начинает встречаться с такими ситуациями, которые требуют применения, хотя и элементарного, но все же математического решения (приготовить угощение для друзей, накрыть стол для кукол, разделить конфеты поровну), знания таких отношений, как много, мало, больше, меньше, поровну, умения определить количество предметов в множестве, обозначить их цифрой, а затем и записать. 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Сначала с помощью взрослых, а затем самостоятельно дети разрешают возникающие проблемы. Таким образом, уже в дошкольном возрасте дети знакомятся с математическим содержанием и овладевают элементарными вычислительными умениями.</w:t>
      </w:r>
    </w:p>
    <w:p>
      <w:pPr>
        <w:ind w:leftChars="0" w:left="0" w:hanging="0" w:firstLineChars="261" w:firstLine="709"/>
        <w:jc w:val="both"/>
        <w:spacing w:after="0"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</w:p>
    <w:p>
      <w:pPr>
        <w:ind w:leftChars="0" w:left="0" w:hanging="0" w:firstLineChars="261" w:firstLine="709"/>
        <w:jc w:val="both"/>
        <w:spacing w:after="0"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Некоторые дошкольники в такой ситуации испытывают трудности в связи с интеллектуальной, эмоциональной, психологической пассивностью. Задача педагога и родителей – помочь ребенку, т.к. при обучении новому, необходимо компенсировать слабые стороны, ранние пробелы. Практика показывает, что для детей особенно актуальна проблема запоминания и изображения графического образа цифр от 1 до 9. Поэтому в условиях изучения ребенком учебного и повседневного практического опыта, важно использование разных способов формирования знаний о понятии количества и качества при многократных повторениях упражнений, применение практико-ориентированного материала, состоящего из стихотворных, дидактических, графических заданий.</w:t>
      </w:r>
    </w:p>
    <w:p>
      <w:pPr>
        <w:ind w:leftChars="0" w:left="0" w:hanging="0" w:firstLineChars="261" w:firstLine="709"/>
        <w:jc w:val="both"/>
        <w:spacing w:after="0"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Система М. Монтессори предусматривает развитие у ребенка сенсомоторной сферы и в дальнейшем – интеллекта. Особо выделяемый по своей значимости «золотой» математический материал сначала осваивается ребенком в количественном значении, затем - в символах (цифрах), после этого – как средство освоения умений сравнивать числа. Таким образом, десятичная система счисления представляется ребенку зримо и осязаемо, что ведет к успешному овладению арифметикой. Работая не с абстрактными понятиями, а с чувственным опытом, современем ребенок в ходе работы начинает предвидеть результат – выполнять некоторые промежуточные действия в уме и становится независим от наглядного пособия. Со временем в процессе обучения наступает момент, когда ум ребенка по-настоящему готов оперировать абстрактными категориями. Этот путь от конкретного к абстрактному, который ребенок с увлечением проходит в детском саду Монтессори,обеспечив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ает его надежной базой для дальнейшего изучения математики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 xml:space="preserve"> 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на абстрактном уровне.</w:t>
      </w:r>
    </w:p>
    <w:p>
      <w:pPr>
        <w:ind w:leftChars="0" w:left="0" w:hanging="0" w:firstLineChars="261" w:firstLine="709"/>
        <w:jc w:val="both"/>
        <w:spacing w:after="0"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Исследования в области знакомства детей с цифрами проводились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 xml:space="preserve"> </w:t>
      </w: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 xml:space="preserve">Е.И. Тихеевой. Она считала необходимым знакомить детей и с цифрами, для чего вводила игры с парными карточками, на одной из которых написана цифра, а на другой - числовая фигура. Первоначальному освоению арифметических действий способствует игра, в которой действия над числами иллюстрируются картинками. Например, кладется карточка с изображением двух девочек и одной. А ниже - карточки с цифрами 2 и 1, соответствующие знаки и результат. Обозначается результат также предметной карточкой и цифрой. </w:t>
      </w:r>
    </w:p>
    <w:p>
      <w:pPr>
        <w:ind w:leftChars="0" w:left="0" w:rightChars="0" w:right="0" w:hanging="0" w:firstLineChars="260" w:firstLine="707"/>
        <w:spacing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Ребёнка окружают игры, развивающие его мысль и приобщающие его к умственному труду. Например, игры из серии: «Логические кубики», «Уголки», «Составь куб» и другие; из серии: «Кубики и цвет», «Сложи узор», «Куб-хамелеон» и другие.</w:t>
      </w:r>
    </w:p>
    <w:p>
      <w:pPr>
        <w:ind w:leftChars="0" w:left="0" w:hanging="0" w:firstLineChars="261" w:firstLine="709"/>
        <w:jc w:val="both"/>
        <w:spacing w:after="0"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  <w:t>Нельзя обойтись и без дидактических пособий. Они помогают ребёнку вычленить анализируемый объект, увидеть его во всём многообразии свойств, установить связи и зависимости, определить элементарные отношения, сходства и отличия. К дидактическим пособиям, выполняющим аналогичные функции, относятся логические блоки Дьенеша, цветные счётные палочки (палочки Кюизенера, модели и другие).</w:t>
      </w:r>
    </w:p>
    <w:p>
      <w:pPr>
        <w:ind w:leftChars="0" w:left="0" w:rightChars="0" w:right="0" w:hanging="0" w:firstLineChars="260" w:firstLine="707"/>
        <w:jc w:val="both"/>
        <w:spacing w:line="36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проблемности, характерными для каждой занимательной задачи, всегда вызывает интерес у детей.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«подвох» и для ее решения необходимо понять, в чем тут хитрость.</w:t>
      </w:r>
    </w:p>
    <w:p>
      <w:pPr>
        <w:ind w:leftChars="0" w:left="0" w:rightChars="0" w:right="0" w:hanging="0" w:firstLineChars="260" w:firstLine="707"/>
        <w:jc w:val="both"/>
        <w:spacing w:after="0" w:line="360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Таким образом, в дошкольном возрасте можно оказать значимое влияние на развитие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предпосылок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математическ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ой грамотности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ребёнка.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дальнейшем.</w:t>
      </w: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2021-11-27T10:15:08Z</dcterms:created>
  <dcterms:modified xsi:type="dcterms:W3CDTF">2021-11-27T11:37:39Z</dcterms:modified>
  <cp:version>0900.0100.01</cp:version>
</cp:coreProperties>
</file>